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50CE" w14:textId="77777777" w:rsidR="00E907CD" w:rsidRDefault="00B84BE8">
      <w:pPr>
        <w:ind w:left="5" w:right="-720" w:hanging="7"/>
        <w:jc w:val="right"/>
        <w:rPr>
          <w:rFonts w:ascii="Gloucester MT Extra Condensed" w:eastAsia="Gloucester MT Extra Condensed" w:hAnsi="Gloucester MT Extra Condensed" w:cs="Gloucester MT Extra Condensed"/>
          <w:color w:val="36797E"/>
          <w:sz w:val="72"/>
          <w:szCs w:val="72"/>
        </w:rPr>
      </w:pPr>
      <w:bookmarkStart w:id="0" w:name="_GoBack"/>
      <w:bookmarkEnd w:id="0"/>
      <w:r>
        <w:rPr>
          <w:rFonts w:ascii="Gloucester MT Extra Condensed" w:eastAsia="Gloucester MT Extra Condensed" w:hAnsi="Gloucester MT Extra Condensed" w:cs="Gloucester MT Extra Condensed"/>
          <w:color w:val="36797E"/>
          <w:sz w:val="72"/>
          <w:szCs w:val="72"/>
        </w:rPr>
        <w:t>NEWS RELEASE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5F83BE" wp14:editId="404DEBBC">
            <wp:simplePos x="0" y="0"/>
            <wp:positionH relativeFrom="column">
              <wp:posOffset>-510537</wp:posOffset>
            </wp:positionH>
            <wp:positionV relativeFrom="paragraph">
              <wp:posOffset>59689</wp:posOffset>
            </wp:positionV>
            <wp:extent cx="2388870" cy="1036320"/>
            <wp:effectExtent l="0" t="0" r="0" b="0"/>
            <wp:wrapSquare wrapText="bothSides" distT="0" distB="0" distL="0" distR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739D84" w14:textId="77777777" w:rsidR="00E907CD" w:rsidRDefault="00E907CD">
      <w:pPr>
        <w:ind w:right="-720"/>
        <w:jc w:val="right"/>
        <w:rPr>
          <w:rFonts w:ascii="Arial" w:eastAsia="Arial" w:hAnsi="Arial" w:cs="Arial"/>
          <w:sz w:val="14"/>
          <w:szCs w:val="14"/>
        </w:rPr>
      </w:pPr>
    </w:p>
    <w:p w14:paraId="506EB103" w14:textId="77777777" w:rsidR="00E907CD" w:rsidRDefault="00B84BE8">
      <w:pPr>
        <w:ind w:left="0" w:right="-72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Kylee Harless</w:t>
      </w:r>
    </w:p>
    <w:p w14:paraId="418994AF" w14:textId="77777777" w:rsidR="00E907CD" w:rsidRDefault="00B84BE8">
      <w:pPr>
        <w:ind w:left="0" w:right="-72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Public Health Communication Specialist</w:t>
      </w:r>
    </w:p>
    <w:p w14:paraId="5619DA2F" w14:textId="77777777" w:rsidR="00E907CD" w:rsidRDefault="00B84BE8">
      <w:pPr>
        <w:ind w:left="0" w:right="-72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(970) 522-3741 x1246</w:t>
      </w:r>
    </w:p>
    <w:p w14:paraId="38D42A65" w14:textId="77777777" w:rsidR="00E907CD" w:rsidRDefault="00B84BE8">
      <w:pPr>
        <w:ind w:left="0" w:right="-72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kyleeh@nchd.org</w:t>
      </w:r>
    </w:p>
    <w:p w14:paraId="3E6B3F0E" w14:textId="77777777" w:rsidR="00E907CD" w:rsidRDefault="00E907CD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35ED82D" w14:textId="77777777" w:rsidR="00E907CD" w:rsidRDefault="00B84BE8">
      <w:pPr>
        <w:ind w:left="0" w:hanging="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85971BA" wp14:editId="6A6CABA8">
                <wp:simplePos x="0" y="0"/>
                <wp:positionH relativeFrom="column">
                  <wp:posOffset>-469899</wp:posOffset>
                </wp:positionH>
                <wp:positionV relativeFrom="paragraph">
                  <wp:posOffset>101600</wp:posOffset>
                </wp:positionV>
                <wp:extent cx="6427470" cy="317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1790" y="3780000"/>
                          <a:ext cx="6408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B3CBC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101600</wp:posOffset>
                </wp:positionV>
                <wp:extent cx="6427470" cy="317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747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97F2E3" w14:textId="77777777" w:rsidR="00E907CD" w:rsidRDefault="00E907CD">
      <w:pPr>
        <w:ind w:left="0" w:hanging="2"/>
        <w:jc w:val="both"/>
        <w:rPr>
          <w:rFonts w:ascii="Arial" w:eastAsia="Arial" w:hAnsi="Arial" w:cs="Arial"/>
        </w:rPr>
      </w:pPr>
    </w:p>
    <w:p w14:paraId="584DE5AD" w14:textId="77777777" w:rsidR="00E907CD" w:rsidRDefault="00B84BE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21, 2020, 2020</w:t>
      </w:r>
    </w:p>
    <w:p w14:paraId="3F70F750" w14:textId="77777777" w:rsidR="00E907CD" w:rsidRDefault="00E907CD">
      <w:pPr>
        <w:jc w:val="both"/>
        <w:rPr>
          <w:rFonts w:ascii="Arial" w:eastAsia="Arial" w:hAnsi="Arial" w:cs="Arial"/>
          <w:sz w:val="12"/>
          <w:szCs w:val="12"/>
        </w:rPr>
      </w:pPr>
    </w:p>
    <w:p w14:paraId="6BCC8D41" w14:textId="77777777" w:rsidR="00E907CD" w:rsidRDefault="00B84BE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IMMEDIATE RELEASE</w:t>
      </w:r>
    </w:p>
    <w:p w14:paraId="2153E49C" w14:textId="77777777" w:rsidR="00E907CD" w:rsidRDefault="00E907CD">
      <w:pPr>
        <w:ind w:left="0" w:hanging="2"/>
        <w:jc w:val="both"/>
        <w:rPr>
          <w:rFonts w:ascii="Arial" w:eastAsia="Arial" w:hAnsi="Arial" w:cs="Arial"/>
        </w:rPr>
      </w:pPr>
    </w:p>
    <w:p w14:paraId="2A760107" w14:textId="77777777" w:rsidR="00E907CD" w:rsidRDefault="00E907CD">
      <w:pPr>
        <w:ind w:left="0" w:hanging="2"/>
        <w:jc w:val="both"/>
        <w:rPr>
          <w:rFonts w:ascii="Arial" w:eastAsia="Arial" w:hAnsi="Arial" w:cs="Arial"/>
        </w:rPr>
      </w:pPr>
    </w:p>
    <w:p w14:paraId="0C12208B" w14:textId="77777777" w:rsidR="00E907CD" w:rsidRDefault="00B84BE8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New COVID-19 Dashboard</w:t>
      </w:r>
    </w:p>
    <w:p w14:paraId="2E773469" w14:textId="77777777" w:rsidR="00E907CD" w:rsidRDefault="00E907CD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2E2277AA" w14:textId="77777777" w:rsidR="00E907CD" w:rsidRDefault="00E907CD">
      <w:pPr>
        <w:ind w:left="0" w:hanging="2"/>
        <w:rPr>
          <w:rFonts w:ascii="Arial" w:eastAsia="Arial" w:hAnsi="Arial" w:cs="Arial"/>
        </w:rPr>
      </w:pPr>
    </w:p>
    <w:p w14:paraId="7B556E39" w14:textId="77777777" w:rsidR="00E907CD" w:rsidRDefault="00B84BE8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Sterling, Colo. – September 21, 2020:  The Northeast Colorado Health Department would like to invite you to look at our new COVID-19 data dashboard. This new dashboard has been in the works for several months. The COVID-19 dashboard has been developed by a</w:t>
      </w:r>
      <w:r>
        <w:rPr>
          <w:rFonts w:ascii="Arial" w:eastAsia="Arial" w:hAnsi="Arial" w:cs="Arial"/>
        </w:rPr>
        <w:t>n internal team at NCHD, consisting of a data analyst, epidemiologist, and an external consultant.</w:t>
      </w:r>
    </w:p>
    <w:p w14:paraId="17728D20" w14:textId="77777777" w:rsidR="00E907CD" w:rsidRDefault="00B84BE8">
      <w:pPr>
        <w:spacing w:line="480" w:lineRule="auto"/>
        <w:ind w:left="0" w:hanging="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The goal of the COVID-19 dashboard project is to make COVID-19 data as easy to access as possible. NCHD built the dashboard to ensure our residents can quickly find out the most current information about the impact of COVID-19 in our communities.</w:t>
      </w:r>
    </w:p>
    <w:p w14:paraId="209CC763" w14:textId="77777777" w:rsidR="00E907CD" w:rsidRDefault="00B84BE8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COVID</w:t>
      </w:r>
      <w:r>
        <w:rPr>
          <w:rFonts w:ascii="Arial" w:eastAsia="Arial" w:hAnsi="Arial" w:cs="Arial"/>
        </w:rPr>
        <w:t xml:space="preserve">-19 dashboard has two interactive pages; the first page will display data on COVID-19 daily case counts, related hospitalization and death data for our 6-county health district including Logan, Morgan, Phillips, Sedgwick, Washington and Yuma counties. All </w:t>
      </w:r>
      <w:r>
        <w:rPr>
          <w:rFonts w:ascii="Arial" w:eastAsia="Arial" w:hAnsi="Arial" w:cs="Arial"/>
        </w:rPr>
        <w:t xml:space="preserve">graphs can be filtered to view newly reported cases, cumulative cases, and number of cases per 100,000 people. Cases per 100k provides a standardized number that can be used to compare cases among </w:t>
      </w:r>
      <w:r>
        <w:rPr>
          <w:rFonts w:ascii="Arial" w:eastAsia="Arial" w:hAnsi="Arial" w:cs="Arial"/>
        </w:rPr>
        <w:lastRenderedPageBreak/>
        <w:t>different populations. Since our county populations are muc</w:t>
      </w:r>
      <w:r>
        <w:rPr>
          <w:rFonts w:ascii="Arial" w:eastAsia="Arial" w:hAnsi="Arial" w:cs="Arial"/>
        </w:rPr>
        <w:t xml:space="preserve">h less than 100,000 people, the rates will always be inflated when comparing against larger populations. </w:t>
      </w:r>
    </w:p>
    <w:p w14:paraId="3999F4BC" w14:textId="77777777" w:rsidR="00E907CD" w:rsidRDefault="00B84BE8">
      <w:pPr>
        <w:spacing w:line="480" w:lineRule="auto"/>
        <w:ind w:left="0" w:hanging="2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The second page has an interactive county map feature which displays detailed case counts, active cases and testing data for individual counties by di</w:t>
      </w:r>
      <w:r>
        <w:rPr>
          <w:rFonts w:ascii="Arial" w:eastAsia="Arial" w:hAnsi="Arial" w:cs="Arial"/>
        </w:rPr>
        <w:t>fferent time frame of either the last 7 days, 14 days, 30 days, or since onset of COVID-19. There is also a filter option to exclude incarcerated cases or view case data for the total county population. All the data metrics on this page align with the Colo</w:t>
      </w:r>
      <w:r>
        <w:rPr>
          <w:rFonts w:ascii="Arial" w:eastAsia="Arial" w:hAnsi="Arial" w:cs="Arial"/>
        </w:rPr>
        <w:t>rado Department of Public Health and Environment (CDPHE)’s COVID-19 Dial dashboard.</w:t>
      </w:r>
    </w:p>
    <w:p w14:paraId="624EACFB" w14:textId="77777777" w:rsidR="00E907CD" w:rsidRDefault="00B84BE8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new COVID-19 dashboard is scheduled to go live on Monday, September 21 at 4pm and </w:t>
      </w:r>
      <w:r>
        <w:rPr>
          <w:rFonts w:ascii="Arial" w:eastAsia="Arial" w:hAnsi="Arial" w:cs="Arial"/>
          <w:highlight w:val="white"/>
        </w:rPr>
        <w:t>will replace the COVID-19 daily Summary Report on our website. The data will be update</w:t>
      </w:r>
      <w:r>
        <w:rPr>
          <w:rFonts w:ascii="Arial" w:eastAsia="Arial" w:hAnsi="Arial" w:cs="Arial"/>
          <w:highlight w:val="white"/>
        </w:rPr>
        <w:t xml:space="preserve">d Monday through Friday around 4pm. The data can be viewed on all types of devices, including computers and smartphones. </w:t>
      </w:r>
    </w:p>
    <w:p w14:paraId="7F4F0D78" w14:textId="77777777" w:rsidR="00E907CD" w:rsidRDefault="00B84BE8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find any discrepancies or have a comment you would like to share, there is a feedback button, and it will take you to a form th</w:t>
      </w:r>
      <w:r>
        <w:rPr>
          <w:rFonts w:ascii="Arial" w:eastAsia="Arial" w:hAnsi="Arial" w:cs="Arial"/>
        </w:rPr>
        <w:t xml:space="preserve">at you can fill out and share your thoughts with us. </w:t>
      </w:r>
    </w:p>
    <w:p w14:paraId="16C4B134" w14:textId="77777777" w:rsidR="00E907CD" w:rsidRDefault="00E907CD">
      <w:pPr>
        <w:spacing w:line="480" w:lineRule="auto"/>
        <w:ind w:left="0" w:hanging="2"/>
        <w:rPr>
          <w:rFonts w:ascii="Arial" w:eastAsia="Arial" w:hAnsi="Arial" w:cs="Arial"/>
        </w:rPr>
      </w:pPr>
    </w:p>
    <w:p w14:paraId="12CECE11" w14:textId="77777777" w:rsidR="00E907CD" w:rsidRDefault="00B84BE8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find the dashboard go to </w:t>
      </w:r>
      <w:hyperlink r:id="rId9">
        <w:r>
          <w:rPr>
            <w:rFonts w:ascii="Arial" w:eastAsia="Arial" w:hAnsi="Arial" w:cs="Arial"/>
            <w:color w:val="0563C1"/>
            <w:u w:val="single"/>
          </w:rPr>
          <w:t>www.nchd.org</w:t>
        </w:r>
      </w:hyperlink>
      <w:r>
        <w:rPr>
          <w:rFonts w:ascii="Arial" w:eastAsia="Arial" w:hAnsi="Arial" w:cs="Arial"/>
        </w:rPr>
        <w:t xml:space="preserve">. Hover over the COVID-19 button found in the top menu and click COVID-19 data. </w:t>
      </w:r>
    </w:p>
    <w:p w14:paraId="22C4222B" w14:textId="77777777" w:rsidR="00E907CD" w:rsidRDefault="00B84BE8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 # #</w:t>
      </w:r>
    </w:p>
    <w:sectPr w:rsidR="00E907CD"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CD"/>
    <w:rsid w:val="00B84BE8"/>
    <w:rsid w:val="00E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2F5A"/>
  <w15:docId w15:val="{68425CF3-699A-4690-BBFF-1D70BD39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32"/>
    <w:rPr>
      <w:rFonts w:ascii="Segoe UI" w:hAnsi="Segoe UI" w:cs="Segoe UI"/>
      <w:position w:val="-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6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1JCscsH1nsijBo/TnrHSD2bKA==">AMUW2mVHY0fCpe8YmJcV3+T3J0IHOln9u/e4iHIWiCBO+hnQUtwt3VlyoSH1G7K91f2VABIQUAWlYBW5VmB7+7S2IHlOxPrD+UwE7GOyZiBSHNGySIM+557i+xIGdEoRKkBsYess34RQ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Herbert</dc:creator>
  <cp:lastModifiedBy>Kylee Harless</cp:lastModifiedBy>
  <cp:revision>2</cp:revision>
  <dcterms:created xsi:type="dcterms:W3CDTF">2020-09-21T22:26:00Z</dcterms:created>
  <dcterms:modified xsi:type="dcterms:W3CDTF">2020-09-21T22:26:00Z</dcterms:modified>
</cp:coreProperties>
</file>